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ПРОСВЕЩЕНИЯ РОССИЙСКОЙ ФЕДЕРАЦИИ</w:t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Департамент образования администрации города Нижнего Новгорода</w:t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МБОУ "Гимназия №50"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РАССМОТРЕНО</w:t>
            </w:r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методическим объединением учителей обществоведческого цикла</w:t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  <w:r/>
          </w:p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Фурсов М.В.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Протокол №1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от «3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0»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СОГЛАСОВАНО</w:t>
            </w:r>
            <w:r/>
          </w:p>
          <w:p>
            <w:pPr>
              <w:spacing w:after="0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Педагогическим советом</w:t>
            </w:r>
            <w:r/>
          </w:p>
          <w:p>
            <w:pPr>
              <w:spacing w:after="0"/>
            </w:pPr>
            <w:r/>
            <w:r/>
          </w:p>
          <w:p>
            <w:pPr>
              <w:spacing w:after="120" w:line="240" w:lineRule="auto"/>
            </w:pPr>
            <w:r/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  <w:r/>
          </w:p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МБОУ «Гимназия №50»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Протокол №1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от «30»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УТВЕРЖДЕНО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Директор</w:t>
            </w:r>
            <w:r/>
          </w:p>
          <w:p>
            <w:pPr>
              <w:spacing w:after="0" w:line="240" w:lineRule="auto"/>
            </w:pPr>
            <w:r/>
            <w:r/>
          </w:p>
          <w:p>
            <w:pPr>
              <w:spacing w:after="0" w:line="240" w:lineRule="auto"/>
            </w:pPr>
            <w:r/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  <w:r/>
          </w:p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Казакова И.Р.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Приказ №70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«30»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 </w:t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</w:p>
        </w:tc>
      </w:tr>
    </w:tbl>
    <w:p>
      <w:pPr>
        <w:ind w:left="120"/>
        <w:spacing w:after="0"/>
      </w:pPr>
      <w:r/>
      <w:r/>
    </w:p>
    <w:p>
      <w:pPr>
        <w:ind w:left="120"/>
        <w:spacing w:after="0"/>
      </w:pPr>
      <w:r>
        <w:rPr>
          <w:rFonts w:ascii="Times New Roman" w:hAnsi="Times New Roman"/>
          <w:color w:val="000000"/>
          <w:sz w:val="28"/>
        </w:rPr>
        <w:t xml:space="preserve">‌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РАБОЧАЯ ПРОГРАММА</w:t>
      </w:r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«Право»</w:t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>
        <w:rPr>
          <w:rFonts w:ascii="Times New Roman" w:hAnsi="Times New Roman"/>
          <w:color w:val="000000"/>
          <w:sz w:val="28"/>
        </w:rPr>
        <w:t xml:space="preserve">г. Н. Новгород</w:t>
      </w:r>
      <w:r/>
    </w:p>
    <w:p>
      <w:pPr>
        <w:ind w:left="120"/>
        <w:jc w:val="center"/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2024г.</w:t>
      </w:r>
      <w:r>
        <w:rPr>
          <w:rFonts w:ascii="Times New Roman" w:hAnsi="Times New Roman"/>
          <w:color w:val="000000"/>
        </w:rPr>
      </w:r>
      <w:r>
        <w:rPr>
          <w:rFonts w:ascii="Times New Roman" w:hAnsi="Times New Roman"/>
          <w:color w:val="000000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ПОЯСНИТЕЛЬНАЯ ЗАПИСКА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br w:type="textWrapping" w:clear="all"/>
        <w:t xml:space="preserve">Программа курса «Право. Основы правовой культуры» к учебникам доктора юридических наук, доктора педагогических наук Е.А. Певцовой «Право. Основы правовой культуры» (10 класс: в 2 ч., 11 класс: в 2 ч. — М.: Русское слово, 2019) сост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авлена в соответствии с Федеральным государственным образовательным стандартом среднего (полного) общего образования 2012 г. и рассчитана на обучение праву школьников 10—11 классов общеобразовательных организаций Российской Федерации на углублённом уровне.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Программа предусматривает использование в образовательном процессе учебно-методического комплекта «Право. Основы правовой культуры». Входящие в состав комплекта учебники имеют гриф «Рекомендовано Министерством образования и науки Российской Федерации».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Требования к результатам обучения и освоения содержания курса «Право. Основы правовой культуры» Личностные результаты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numPr>
          <w:ilvl w:val="0"/>
          <w:numId w:val="1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Воспитание ро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1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формирование гражданской позиции как активного и ответственного члена российского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1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готовность к служению Отечеству, его защите;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1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сформированность мировоззрения, соответствующего современному уровню развития правовой науки и практики, а также различных форм общественного сознания, осознание своего места в поликультурном мире;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1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1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1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1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нравственное сознание и поведение на основе усвоения общечеловеческих ценностей;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1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1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1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сформированность экологического мышления, понимания влияния социально-экономических процессов на состояние природной и социальной среды;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1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ответственное отношение к созданию семьи на основе осознанного принятия ценностей семейной жизни.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Метапредметные результаты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numPr>
          <w:ilvl w:val="0"/>
          <w:numId w:val="2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Умение самостоятельно определять цели деятельности и сос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2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2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2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2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умение использовать средства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2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умение определять назначение и функции различных социальных институтов;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2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умение самостоятельно оценивать и принимать решения, определяющие стратегию поведения с учётом гражданских и нравственных ценностей;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2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владение языковыми средствами — умение ясно, логично и точно излагать свою точку зрения, использовать адекватные языковые средства;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2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Предметные результаты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1"/>
          <w:szCs w:val="21"/>
          <w:lang w:eastAsia="ru-RU"/>
        </w:rPr>
        <w:t xml:space="preserve">На базовом уровне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Сформированность представлений о понятии государства, его функциях, механизме и формах;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владение знаниями о понятии права, источниках и нормах права, законности, правоотношениях;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владение знаниями о правонарушениях и юридической ответственности;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сформированность представлений о Конституции РФ как основном законе государства, владение знаниями об основах правового статуса личности в Российской Федерации;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сформированность общих представлений о разных видах судопроизводства, правилах применения права, разрешения конфликтов правовыми способами;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сформированность основ правового мышления;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сформированность знаний об основах административного, гражданского, трудового, уголовного права;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понимание юридической деятельности; ознакомление со спецификой основных юридических профессий;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сформированность навыков самостоятельного поиска правовой информации, умений использовать результаты в конкретных жизненных ситуациях.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сформированность представлений о роли и значении права как важнейшего социального регулятора и элемента культуры общества;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владение знаниями об основных правовых принципах, действующих в демократическом обществе;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сформированность представлений о системе и структуре права, правоотношениях, правонарушениях и юридической ответственности;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владение знаниями о российской правовой системе, особенностях её развития;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сформированность представлений о конституционном, гражданском, арбитражном, уголовном видах судопроизводства, правилах применения права, разрешения конфликтов правовыми способами;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сформированность правового мышления и способности 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сформированность знаний об общих принципах и нормах, регулирующих государственное устройство Российской Федерации, конституционный статус государственной власти и 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сис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 тему конституционных прав и свобод в Российской Федерации, механизмы реализации и защиты прав граждан и юридических лиц;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понимание юридической деятельности как формы реализации права; ознакомление со спецификой основных юридических профессий;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0"/>
          <w:numId w:val="3"/>
        </w:num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сформированность умений примен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ять правовые знания для оценивания конкретных правовых норм с точки зрения их соответствия законодательству Российской Федерации, выработки и доказательной аргументации собственной позиции в конкретных правовых ситуациях с использованием нормативных актов.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СОДЕРЖАНИЕ КУРСА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«ПРАВО. ОСНОВЫ ПРАВОВОЙ КУЛЬТУРЫ» (Базовый уровень) 10—11 КЛАССЫ (67 часов)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jc w:val="center"/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10 КЛАСС (34 часа)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jc w:val="center"/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Тема 1. РОЛЬ ПРАВА В ЖИЗНИ ЧЕЛОВЕКА И ОБЩЕСТВА (3 ч)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Значение изучения права. Система юриди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ческих наук. Юридические профессии: адвокат, нотариус, судья. Информация и право. Теории происхождения права. Закономерности возникновения права. Исторические особенности зарождения права в различных уголках мира. Происхождение права в государствах Древнег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о Востока, Древней Греции, Древнего Рима, у древних германцев и славян. Право и основные теории его понимания. Нормы права. Основные принципы права. Презумпции и аксиомы права. Система регулирования общественных отношений. Механизм правового регулирования.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1"/>
          <w:szCs w:val="21"/>
          <w:lang w:eastAsia="ru-RU"/>
        </w:rPr>
        <w:t xml:space="preserve">Понятия</w:t>
      </w: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. 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Юриспруденция. Правовая информация. Официальная правовая информация. Информация индивидуально - правового характера. Неофициальная правовая информация. 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Мононормы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. Правопонимание. Естественное право. Позитивное право. Основная норма. Право. Принципы права. Презумпция. Правовые аксиомы. Юридические фикции. Социальные нормы. Обычаи. Религиозные нормы. Групповые нормы. Корпоративные нормы. Санкции.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Тема 2. ТЕОРЕТИЧЕСКИЕ ОСНОВЫ ПРАВА КАК СИСТЕМЫ (7 ч)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Понятие и система права. Правовые нормы и их характеристики. Классификация норм права, структура правовой нормы. Способы изложения норм права в нормативных правовых актах. Институты права. Отрасли права. Методы правового регулирования.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Понятие и виды правотворчества. Законодательный процесс. Юридическая техника.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Источники права. Правовой обычай. Юридический прецедент. Договоры как форма выражения воли участников правоотношений, их виды. Нормативный правовой акт. Виды нормативных правовых 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актов. Действие норм права во времени, в пространстве и по кругу лиц. Систематизация нормативных правовых актов.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Понятие реализации права и её формы. Этапы и особенности применения права. Правила разрешения юридических противоречий. Сущность и назначение толкования права. Способы и виды толкования права. Пробелы в праве. Аналогия права и аналогия закона.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1"/>
          <w:szCs w:val="21"/>
          <w:lang w:eastAsia="ru-RU"/>
        </w:rPr>
        <w:t xml:space="preserve">Понятия</w:t>
      </w: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. 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Система права. Норма права. Гипотеза. Диспозиция. Санкция. Институт права. 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Субинститут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. Отрасль права. Предмет правового регулирования. Частное право. Публичное право. Материальное право. Процессуальное право. Законодательная инициатива. Юридическая техника. Реквизиты документов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. Прецедент. Договор. Закон. Подзаконный акт. Локальный нормативный акт. Кодификация. Инкорпорация. Консолидация. Учёт. Применение права. Акт применения права. Реализация права. Использование права. Соблюдение права. Применение права. Акт толкования права.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Тема 3. ПРАВООТНОШЕНИЯ И ПРАВОВАЯ КУЛЬТУРА (7 ч)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Юридические факты как основание правоотношений. Виды и структура правоотношений.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Поведение людей в мире права. Правомерное поведение. Правонарушение,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 его состав, признаки. Виды правонарушений. Функции юридической ответственности. Принципы юридической ответственности. Виды юридической ответственности. Основания освобождения от юридической ответственности. Обстоятельства, исключающие преступность деяния.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Правовое сознание и его структура. Правовая психология.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Правовая идеология. Правовая культура.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Понятие правовой системы общества. Романо-германская правовая семья. Англосаксонская правовая семья. Религиозно- правовая семья. Социалистическая правовая семья. Особенности правовой системы в России.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1"/>
          <w:szCs w:val="21"/>
          <w:lang w:eastAsia="ru-RU"/>
        </w:rPr>
        <w:t xml:space="preserve">Понятия</w:t>
      </w: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. 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Правоспособность. Дееспособность. Правосубъектность. Субъективное право. Юридическая обязанность. Правонарушение. С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остав правонарушения. Субъект правонарушения. Объект правонарушения. Объективная сторона правонарушения. Субъективная сторона правонарушения. Вина. Преступление. Правопорядок. Убытки. Неустойка. Возмещение неустойки (штрафа). Срок давности. Необходимая обо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рона. Крайняя необходимость. Правовые знания. Правовые эмоции. Правовая установка. Правовые ценности. Ценностные ориентации. Правовая культура. Правовой нигилизм. Правовой идеализм. Правовое воспитание. Правовая семья. Рецепция права. Право справедливости.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Тема 4. ГОСУДАРСТВО И ПРАВО (11 ч)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Понятие государства и его признаки. Подходы к пониманию государства. Жизнь людей в 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догосударственный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 период. Происхожден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ие древневосточного государства. Происхождение античного государства. Происхождение государства у древних германцев и славян. Теории происхождения государства: теологическая, патриархальная, ирригационная, договорная, марксистская, теория насилия. Признаки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 государства. Сущность государства. Функции государства. Виды функций государства. Форма государства и её элементы. Монархия как форма правления. Республика как форма власти. Государственное устройство. Политический режим. Государственный механизм и его ст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руктура. Государственный орган и его признаки. Глава государства. Законодательная власть. Исполнительная власть. Судебная власть. Местное самоуправление. Принципы местного самоуправления. Правовое государство и его сущность. Признаки правового государства.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Конституция Российской Федерации — основной закон государства. Структура Конституции Российской Федерации. Основы конституционного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 строя России. Эволюция понятия «гражданство». Порядок приобретения и прекращения российского гражданства. Правовой статус человека в демократическом правовом государстве. Избирательные системы и их виды. Референдум. Выборы Президента Российской Федерации.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1"/>
          <w:szCs w:val="21"/>
          <w:lang w:eastAsia="ru-RU"/>
        </w:rPr>
        <w:t xml:space="preserve">Понятия</w:t>
      </w: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. 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Государство. Род. Деспотия. Естественное состояние человека. Производственные отношения. Общественно-экономическая формация. Суверенитет (государственный, народа, национальный). Сущность государства. Политическая система общества. Глобальные проблемы. 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Функции государства. Задачи государства. Форма государства. Форма правления. Монархия. Республика. Парламентарная республика. П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резидентская республика. Форма государственного устройства. Федерация. Унитарное государство. Конфедерация. Политический режим. Механизм государства. Орган государства. Правовой иммунитет. Правительство. Гражданское общество. Правовое государство. Гражданс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тво. Гражданин. Иностранный гражданин. Лицо без гражданства. Двойное гражданство. Правовой статус. Права и свободы человека. Налог. Сбор. Альтернативная гражданская служба. Избирательная система. Активное избирательное право. Пассивное избирательное право.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Тема 5. ПРАВОСУДИЕ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И ПРАВООХРАНИТЕЛЬНЫЕ ОРГАНЫ (5 ч)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Защита прав человека в государстве. Судебная система. Конституционный суд Российской Федерации. Суды общей юрисдикции. Мировые суды. Порядок осуществления правосудия в судах общей юрис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дикции. Арбитражные суды. Правоохранительные органы Российской Федерации. Система органов внутренних дел. Прокуратура и её деятельность. Органы Федеральной службы безопасности Российской Федерации. Особенности деятельности правоохранительных органов РФ: Фе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деральная служба охраны, Федеральная служба исполнения наказаний, Федеральная служба судебных приставов, Федеральная миграционная служба, Федеральная служба РФ по контролю за оборотом наркотиков, Федеральная налоговая служба, Федеральная таможенная служба.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1"/>
          <w:szCs w:val="21"/>
          <w:lang w:eastAsia="ru-RU"/>
        </w:rPr>
        <w:t xml:space="preserve">Понятия</w:t>
      </w: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. 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Правосудие. Подсудность. Судебная инстанция. Юрисдикция. Апелляция. Кассация. Исковое заявление. Истец. Ответчик. Доказательства. Полиция. Заявление о преступлении. Контрразведывательная деятельность.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Промежуточный контроль (1 ч)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numPr>
          <w:ilvl w:val="1"/>
          <w:numId w:val="1"/>
        </w:numPr>
        <w:jc w:val="center"/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КЛАСС (33 часа)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Тема 1. ГРАЖДАНСКОЕ ПРАВО (7 часов)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Понятие и сущность гражданского права. Гражданские правоотношения. Источники гражданского права. Виды субъектов гражданских правоотношений. Физическое лицо как субъект п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рава. Юридические лица как субъекты права. Понятие сделки и её виды. Формы сделок. Основания недействительности сделок. Представительство в сделках. Доверенность и её виды. Понятие обязательства. Способы обеспечения исполнения обязательств. Понятие договор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а и его содержание. Виды договоров. Порядок заключения, изменения и расторжения договоров. Отдельные виды обязательств. Понятие права собственности. Основания возникновения права собственности. Понятие права интеллектуальной собственности. Интеллектуальные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 права (исключительные — имущественные; неимущественные; иные — право доступа, право следования). Авторское право. Смежные права. Право охраны нетрадиционных объектов интеллектуальной собственности. Ноу-хау. Патентное право. Право средств индивидуализации 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участников гражданского оборота. Понятие общей собственности. Защита права собственности. Защита чести, достоинства и деловой репутации. Понятие гражданско-правовой ответственности. Виды гражданско-правовой ответственности. Способы защиты гражданских прав.</w:t>
      </w:r>
      <w:r/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Предпринимательство и предпринимательское право. Правовые средства государственного регулирования экономики. Организационно-п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равовые формы предпринимательской деятельности. Хозяйственные товарищества. Хозяйственные общества. Производственный кооператив (артель). Унитарное предприятие. Правовое регулирование защиты предпринимательской деятельности и прав предпринимателей. Права п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отребителей. Защита прав потребителей при заключении договоров на оказание услуг. Сроки предъявления претензий. Защита прав потребителей. Понятие и сущность наследования. Правила наследования на основании завещания. Формы завещания. Наследование по закону.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1"/>
          <w:szCs w:val="21"/>
          <w:lang w:eastAsia="ru-RU"/>
        </w:rPr>
        <w:t xml:space="preserve">Понятия</w:t>
      </w: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. 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Гражданское право. Вещь. Информация. Коммерческая тайна. Физическое лицо. Гражданская правоспособн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ость. Гражданская дееспособность. Полная дееспособность. Юридическое лицо. Общая правоспособность. Специальная правоспособность. Двусторонняя реституция. Сделка. Обязательственное право. Договорное право. Договор. Имущественные права. Право собственности. 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Вещное право. Общая долевая собственность. Общая совместная собственность. Виндикационный иск. Добросовестный приобретатель. Негаторный иск. Иск о призн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ании права собственности. Личные неимущественные права. Деловая репутация. Честь. Достоинство. Клевета. Оскорбление. Исковая давность. Моральный вред. Гражданско-правовая ответственность. Убытки. Реальный ущерб. Упущенная выгода. Деликт. Предпринимательско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е право. Предпринимательская деятельность. Коммерческая организация. Полное товарищество. Товарищество на вере. Общество с ограниченной ответственностью. Акционерное общество. Общество с дополнительной ответственностью. Акция. Облигация. Производственный к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ооператив. Унитарное предприятие. Претензия. Гарантийный срок хранения. Гарантийный срок эксплуатации. Сертификат качества. Наследование. Наследник. Наследодатель. Завещание. Право на обязательную долю. Время открытия наследства. Место открытия наследства.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Тема 2. СЕМЕЙНОЕ ПРАВО (3 часа)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Порядок заключения брака. Расторжение брака. Имущественные и личные неимущественные права супругов. Договорный режим имущества супругов. Родители и дети: правовые основы взаимоотношений. Алиментные обязательства.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1"/>
          <w:szCs w:val="21"/>
          <w:lang w:eastAsia="ru-RU"/>
        </w:rPr>
        <w:t xml:space="preserve">Понятия</w:t>
      </w: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. 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Семья. Брачный договор. Дети-сироты. Дети, оставшиеся без попечения родителей.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Тема 3. ЖИЛИЩНОЕ ПРАВО (1 часа)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Жилищные правоотношения. Реализация гражданами права на жильё.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1"/>
          <w:szCs w:val="21"/>
          <w:lang w:eastAsia="ru-RU"/>
        </w:rPr>
        <w:t xml:space="preserve">Понятия</w:t>
      </w: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. 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Жилищный фонд. Регистрация. Приватизация.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Тема 4. ТРУДОВОЕ ПРАВО (4 часа)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Понятие трудового права. Принципы и источники трудового права. Коллективный договор. Трудовое 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соглашение. Занятость и безработица. Занятость и трудоустройство. Порядок взаимоотношений работников и работодателей. Трудовой договор. Гарантии при приёме на работу. Порядок и условия расторжения трудового договора. Расторжение трудового договора по иници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ативе работодателя. Трудовые споры и дисциплинарная ответственность. Понятие рабочего времени. Время отдыха. Правовое регулирование труда несовершеннолетних. Льготы, гарантии и компенсации, предусмотренные трудовым законодательством для несовершеннолетних.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1"/>
          <w:szCs w:val="21"/>
          <w:lang w:eastAsia="ru-RU"/>
        </w:rPr>
        <w:t xml:space="preserve">Понятия</w:t>
      </w: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. 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Трудовое право. Трудовые отношения. Работник. Работодатель. Принудительный труд. Минимальный размер оплаты труда. Коллективный договор. Трудовое соглашение. Безработный. Правила внутреннего трудового расп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орядка. Индивидуальный трудовой спор. Коллективный трудовой спор. Забастовка. Трудовой арбитраж. Локаут. Дисциплинарное взыскание. Рабочее время. Совместительство. Сверхурочная работа. Время отдыха. Праздничные дни. Государственная аккредитация. Иждивенцы.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Тема 5. АДМИНИСТРАТИВНОЕ ПРАВО И АДМИНИСТРАТИВНЫЙ ПРОЦЕСС (3 ч)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Административное право и административны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е правоотношения. Особенности административного права. Административные правоотношения. Понятие административного правонарушения. Административная ответственность. Меры административного наказания. Производство по делам об административных правонарушениях.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1"/>
          <w:szCs w:val="21"/>
          <w:lang w:eastAsia="ru-RU"/>
        </w:rPr>
        <w:t xml:space="preserve">Понятия</w:t>
      </w: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. 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Метод убеждения. Государственное принуждение. Административное принуждение. Администрат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ивные правоотношения. Компетенция. Государственная должность. Государственная служба. Государственный служащий. Административное правонарушение. Административная ответственность. Ходатайство. Отвод. Доставление. Административное задержание. Доказательства.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Тема 6. УГОЛОВНОЕ ПРАВО И УГОЛОВНЫЙ ПРОЦЕСС (5 ч)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Понятие уголовного права. Принципы уголовного права. Действие уголовного закона. Понятие преступления. Основные виды преступлений. Уголовная ответственность и наказание. Уголовная 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ответственность несовершеннолетних. Уголовный процесс. Особенности уголовного процесса по делам несовершеннолетних. Защита от преступления. Права обвиняемого, потерпевшего, свидетеля. Уголовное судопроизводство.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1"/>
          <w:szCs w:val="21"/>
          <w:lang w:eastAsia="ru-RU"/>
        </w:rPr>
        <w:t xml:space="preserve">Понятия</w:t>
      </w: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. 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Уголовное право. Преступление. Деяние. Объект преступления. Субъект прест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упления. Объективная сторона преступления. Субъективная сторона преступления. Мотив преступления. Цель преступления. Казус. Убийство. Аффект. Соучастие в преступлении. Исполнитель. Организатор. Подстрекатель. Пособник. Преступное сообщество. Уголовная отве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тственность. Уголовное наказание. Условно-досрочное освобождение от отбывания наказания. Процессуальные нормы. Уголовно-процессуальное право. Уголовный процесс. Заявление о преступлении. Явка с повинной. Понятой. Обвиняемый. Потерпевший. Свидетель. Привод.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Тема 7. ПРАВОВОЕ РЕГУЛИРОВАНИЕ В РАЗЛИЧНЫХ СФЕРАХ ОБЩЕСТВЕННОЙ ЖИЗНИ (7 ч)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Пенсионная система и страхование. Правовое регулирование денежного обращения. Экологическое право. Экологические правонарушения и юридическая ответственность.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Правовое регулирование отношений в области образования. Принципы государственной политики в области образования. Уровни образования. Права и обязанности субъектов образоват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ельных правоотношений. Профессиональное юридическое образование. Практические советы о том, как заключить договор на обучение. Юридические профессии: судьи, адвокаты, прокуроры, нотариусы, следователи. Особенности профессиональной юридической деятельности.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1"/>
          <w:szCs w:val="21"/>
          <w:lang w:eastAsia="ru-RU"/>
        </w:rPr>
        <w:t xml:space="preserve">Понятия</w:t>
      </w: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. 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Пенсия. Государственные пособия. Экологическое право. Экологические правонарушения. Федеральный государственный образовательный стандарт.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Тема 8. МЕЖДУНАРОДНОЕ ПРАВО (2 часа)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Понятие международного права. Источники и принципы международного права. Субъекты международного права. Международная защита прав человека в условиях мирного и во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енного времени. Правозащитные организации и развитие системы прав человека. Европейский суд по правам человека. Международная защита прав детей. Международные споры и международно-правовая ответственность. Международное гуманитарное право и права человека.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1"/>
          <w:szCs w:val="21"/>
          <w:lang w:eastAsia="ru-RU"/>
        </w:rPr>
        <w:t xml:space="preserve">Понятия</w:t>
      </w: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. 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Ратификация. Международное право. Международное публичное право. Международное частное право. Принципы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 международного права. Международная организация. Межправительственная организация. Неправительственная организация. Декларация. Пакт. Международно-правовая ответственность. Репрессалии. Реторсии. Капитуляция. Международное гуманитарное право. Комбатанты. 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Некомбатанты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  <w:t xml:space="preserve">.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Промежуточный контроль (1 час)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ТЕМАТИЧЕСКОЕ ПЛАНИРОВАНИЕ КУРСА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«ПРАВО. ОСНОВЫ ПРАВОВОЙ КУЛЬТУРЫ» 10–11 КЛАССЫ (67 часов)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jc w:val="center"/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(базовый уровень)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jc w:val="center"/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1"/>
          <w:szCs w:val="21"/>
          <w:lang w:eastAsia="ru-RU"/>
        </w:rPr>
        <w:t xml:space="preserve">10 КЛАСС (34 часа)</w:t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jc w:val="center"/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tbl>
      <w:tblPr>
        <w:tblW w:w="14574" w:type="dxa"/>
        <w:tblCellMar>
          <w:left w:w="105" w:type="dxa"/>
          <w:top w:w="105" w:type="dxa"/>
          <w:right w:w="105" w:type="dxa"/>
          <w:bottom w:w="105" w:type="dxa"/>
        </w:tblCellMar>
        <w:tblLook w:val="04A0" w:firstRow="1" w:lastRow="0" w:firstColumn="1" w:lastColumn="0" w:noHBand="0" w:noVBand="1"/>
      </w:tblPr>
      <w:tblGrid>
        <w:gridCol w:w="461"/>
        <w:gridCol w:w="2664"/>
        <w:gridCol w:w="931"/>
        <w:gridCol w:w="10518"/>
      </w:tblGrid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61" w:type="dxa"/>
            <w:vAlign w:val="center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Наименование тем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31" w:type="dxa"/>
            <w:vAlign w:val="center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Кол-во часов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0518" w:type="dxa"/>
            <w:vAlign w:val="center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Характеристика основных видов деятельности обучающегося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61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2664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Роль права в жизни человека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31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0518" w:type="dxa"/>
            <w:vAlign w:val="center"/>
            <w:textDirection w:val="lrTb"/>
            <w:noWrap w:val="false"/>
          </w:tcPr>
          <w:p>
            <w:pPr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Знать определение права и его характерные признаки; аргументировать с опорой на собственные взгляды важную роль права в разрешении любых правовых конфликтов; характеризовать основные подходы к пониманию права в истории юриспруденции; понимать сущн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ость взаимодействия права и нравственности; понимать роль права в решении правовых проблем общественной жизни; отличать правовые нормы от иных социальных регуляторов; обладать знаниями об основных правовых принципах, действующих в демократическом обществе.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  <w:p>
            <w:pPr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Владеть навыками использовать право в решении правовых задач, требующих базовые знания в области конституционного, гражданского, уголовного, административного, трудового, семейного, образовательного права.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  <w:p>
            <w:pPr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Уметь использовать социальные нормы в жизненных ситуациях.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  <w:p>
            <w:pPr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Уметь пользоваться современными информационными поисковыми правовыми системами для нахождения необходимого правового акта, регулирующего ту или иную ситуацию.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  <w:p>
            <w:pPr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Уважительно относиться к нормам права, регулирующим ситуации, в которых участвуют конкретные субъекты.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61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2664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Теоретические основы права как системы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31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0518" w:type="dxa"/>
            <w:textDirection w:val="lrTb"/>
            <w:noWrap w:val="false"/>
          </w:tcPr>
          <w:p>
            <w:pPr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Знать основные правовые понятия, позволяющие читать и понимать ведущие федеральные конституционные и федеральные законы, а также международные 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правовые документы; уметь определять структуру нормы права, сущность её составляющих единиц (гипотез, диспозиций, санкций). Разбираться в видовом разнообразии нормативных правовых актов, действующих на территории России; уметь реализовать действующие нормы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 права в необходимых ситуациях в реальной жизни. Владеть навыками разрешения элементарных правовых споров в области публичного и частного права; уметь толковать законы различными способами; знать основы правоприменения норм действующего законодательства. С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облюдать необходимые предписания права в любых жизненных ситуациях, оказывать правовую консультацию по элементарным вопросам действующего законодательства, быть непримиримым к правонарушениям любого характера, владеть навыками антикоррупционного поведения.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  <w:p>
            <w:pPr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Уметь участвовать в правотворческой деятельности, выдвигать инициативу по подготовке и принятию 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необходимых норм права для преодоления пробелов.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61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2664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Правоотношения и правовая культура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31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0518" w:type="dxa"/>
            <w:textDirection w:val="lrTb"/>
            <w:noWrap w:val="false"/>
          </w:tcPr>
          <w:p>
            <w:pPr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Знать структуру правоотношения, уметь характеризовать его элементы, в том числе физических и юридических лиц, содержание правоспособности и дееспособности. Уметь решать правовые задачи по определению объёма пр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ав и обязанностей участников правоотношений. Уважительно относиться к правам и обязанностям участников правоотношений. Владеть навыками правомерного поведения в обществе, иметь высокий уровень правовой информированности, уважительного отношения к праву и б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ыть мотивированным на правомерное поведение в любых жизненных ситуациях. Распознавать функции юридической ответственности, использовать принципы юридической ответственности в решении правовых вопросов. Знать обстоятельства, исключающие преступность деяния.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  <w:p>
            <w:pPr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Уметь различать особенности романо-германской правовой семьи; англосаксонской правовой семьи, религиозно-правовой семьи, социалистической правовой семьи; обладать умениями реализовать право в условиях правовой системы в России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61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2664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Государство и право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31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0518" w:type="dxa"/>
            <w:textDirection w:val="lrTb"/>
            <w:noWrap w:val="false"/>
          </w:tcPr>
          <w:p>
            <w:pPr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Знать сущность государства как политической организации общества; характеризовать любое государство с точки зрения его формы правления, территориального устройства, политического режима. Характери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зовать государственный механизм; знать компетенцию органов законодательной, судебной, исполнительной ветвей власти. Понимать взаимодействие права и государства; уважительно относиться к соблюдению законов и обеспечению законности и правопорядка в обществе.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  <w:p>
            <w:pPr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Уметь защищать личные, политические права и свободы, социальные, экономические и культурные права. Ум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еть исполнять обязанности граждан государства. Характеризовать избирательные системы и их виды. Уметь участвовать в референдуме, выборах Президента РФ; уважительно относиться к символам и атрибутам государственной власти, быть патриотом своего государства.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61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2664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Правосудие и правоохранительные органы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31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0518" w:type="dxa"/>
            <w:textDirection w:val="lrTb"/>
            <w:noWrap w:val="false"/>
          </w:tcPr>
          <w:p>
            <w:pPr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Знать и характеризовать судебную систему Российской Федерации; уметь обращаться в судебные инстанции за защитой нарушенных прав и восстановлением справедливости. Уважите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льно относиться к правоохранительным органам государства, понимать компетенцию и особенности их деятельности. Знать порядок применения права и уметь использовать свои знания для осуществления правовых консультаций и помощи другим лицам. Решать правовые зад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ачи по разрешению споров с использованием действующих норм гражданского процессуального, уголовного процессуального права. Уметь следить за изменением законодательства, делать заключения об эффективности использования права в конкретной жизненной ситуации.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61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2664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Повторительно-обобщающий урок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31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0518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numPr>
          <w:ilvl w:val="0"/>
          <w:numId w:val="4"/>
        </w:numPr>
        <w:jc w:val="center"/>
        <w:spacing w:before="100" w:beforeAutospacing="1" w:after="100" w:afterAutospacing="1" w:line="240" w:lineRule="auto"/>
        <w:shd w:val="clear" w:color="auto" w:fill="ffffff"/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  <w:t xml:space="preserve">КЛАСС (33 часа)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14574" w:type="dxa"/>
        <w:tblCellMar>
          <w:left w:w="105" w:type="dxa"/>
          <w:top w:w="105" w:type="dxa"/>
          <w:right w:w="105" w:type="dxa"/>
          <w:bottom w:w="105" w:type="dxa"/>
        </w:tblCellMar>
        <w:tblLook w:val="04A0" w:firstRow="1" w:lastRow="0" w:firstColumn="1" w:lastColumn="0" w:noHBand="0" w:noVBand="1"/>
      </w:tblPr>
      <w:tblGrid>
        <w:gridCol w:w="431"/>
        <w:gridCol w:w="3638"/>
        <w:gridCol w:w="921"/>
        <w:gridCol w:w="9584"/>
      </w:tblGrid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31" w:type="dxa"/>
            <w:vAlign w:val="center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3638" w:type="dxa"/>
            <w:vAlign w:val="center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Наименование тем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21" w:type="dxa"/>
            <w:vAlign w:val="center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Кол-во часов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584" w:type="dxa"/>
            <w:vAlign w:val="center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Характеристика основных видов деятельности обучающегося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36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Гражданское право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5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Знать основные источники гражданского права, уметь их характеризовать, находить необходимую норму для решения возникающих гражданско-правовых споров. Характериз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овать физическое лицо как субъекта гражданских правоотношений. Определять меру возможного поведения субъекта гражданско-правовых отношений; отличать виды юридических лиц, их правоспособность и дееспособность. Знать основные организационно-правовые формы пр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едпринимательской деятельности. Уметь отличать хозяйственные товарищества, хозяйственные общества, производственный кооператив (артель), унитарное предприятие. Уметь использовать права предпринимателей. Обладать элементарными знаниями об организации своего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собственного бизнеса с ориентацией на успех. Владеть способами защиты своих имущественных и личных неимущественных прав. Уметь осуществлять защиту прав потребителей. Уметь применять правила наследования на основании завещания и по закону в реальной жизни.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36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Семейное право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5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Знать основные источники семейного права, находить необходимую правовую норму, регулирующую семейные отношения. Уметь предотвращать и решать правовые конфликты в семье. Владеть правовой компетентностью по вопросам заключения брака,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его расторжения, выплаты алиментов. Решать необходимые вопросы по аспектам правовых отношений между родителями и детьми. Уметь выявлять нарушения прав детей и родителей; быть непримиримым к преступлениям и проступкам в вопросах отношений взрослых и детей.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36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Жилищное право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5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Знать основополагающие нормы жилищного права, уметь защищать право на жилище.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36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Трудовое право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5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Знать правовые нормы в области заключения и расторжения трудовых отношений; уметь устроиться на работу, защитить свои тру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довые права. Уважительно относиться к нормам трудового права, соблюдать дисциплину труда, быть социально-активным в трудовой деятельности. Уметь использовать льготы, гарантии и компенсации, предусмотренные трудовым законодательством для несовершеннолетних.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3638" w:type="dxa"/>
            <w:textDirection w:val="lrTb"/>
            <w:noWrap w:val="false"/>
          </w:tcPr>
          <w:p>
            <w:pPr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Административное право и административный процесс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5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Знать ведущие нормы административного законодательства; уметь защитить свои права и законные права иных лиц в административном процессе; уважительно относиться к нормам административного права; уметь обращаться в органы государственной 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муниципальной власти для разрешения вопросов; владеть навыками составления необходимых документов, используемых в административных правоотношениях. Понимать сущность административной ответственности и меры административного наказания.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3638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Уголовное право и уголовный процесс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5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Знать ведущие нормы уголовного права и уголовного процесса; характеризовать сущность преступных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деяний человека; приводить примеры преступных деяний из жизни, осознавать опасность их совершения в современном обществе; быть непримиримым противником преступности в любых формах её проявления. Уметь вести дискуссии и отстаивать позиции с опорой на закон.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3638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Правовое регулирование в различных сферах общественной жизни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5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Уметь исполнять, использовать и соблюдать необходимые нормы права для решения жизненно важных правовых ситуаций в сфере образования, финансовой деятельности, пенсионного 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беспечения, экологии и т.п. Уметь защитить свои права в сфере образования, выстраивать верную траекторию образовательной и профессиональной деятельности в будущем. Знать особенности профессиональной юридической деятельности, основных юридических профессий.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3638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Международное право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5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Знать основные принципы и нормы международного публичного и международного частного права. Обладать умениями использовать нормы международного гуманитарного права при решении военных и иных конфликтов меж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ду странами. Уважительно относиться к международному праву, знать основы мирного решения конфликтов на международной арене. Знать, как обратиться в Международный суд по правам человека. Уметь излагать письменно свои позиции по вопросу защиты прав человека.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3638" w:type="dxa"/>
            <w:textDirection w:val="lrTb"/>
            <w:noWrap w:val="false"/>
          </w:tcPr>
          <w:p>
            <w:pPr>
              <w:jc w:val="center"/>
              <w:spacing w:after="150" w:line="240" w:lineRule="auto"/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Повторительно-обобщающий урок</w:t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5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eastAsia="ru-RU"/>
        </w:rPr>
      </w: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spacing w:after="0" w:line="48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Певцова Е.А. «Право. Основы правовой культуры» (10 класс: в 2 ч., 11 класс: в 2 ч. — М.: Русское слово, 2019)</w:t>
      </w:r>
      <w:r/>
    </w:p>
    <w:p>
      <w:pPr>
        <w:ind w:left="120"/>
        <w:spacing w:after="0" w:line="480" w:lineRule="auto"/>
      </w:pPr>
      <w:r>
        <w:rPr>
          <w:rFonts w:ascii="Times New Roman" w:hAnsi="Times New Roman"/>
          <w:color w:val="000000"/>
          <w:sz w:val="28"/>
        </w:rPr>
        <w:t xml:space="preserve">​</w:t>
      </w:r>
      <w:r/>
    </w:p>
    <w:p>
      <w:pPr>
        <w:ind w:left="120"/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ИНТЕРНЕТ</w:t>
      </w:r>
      <w:r/>
    </w:p>
    <w:p>
      <w:pPr>
        <w:spacing w:after="0"/>
        <w:rPr>
          <w:lang w:val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lang w:val="en-US"/>
        </w:rPr>
        <w:t xml:space="preserve">​</w:t>
      </w:r>
      <w:r>
        <w:rPr>
          <w:lang w:val="en-US"/>
        </w:rPr>
      </w:r>
      <w:r>
        <w:rPr>
          <w:lang w:val="en-US"/>
        </w:rPr>
      </w:r>
    </w:p>
    <w:p>
      <w:pPr>
        <w:spacing w:after="0"/>
        <w:rPr>
          <w:lang w:val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/>
          <w:sz w:val="28"/>
          <w:szCs w:val="28"/>
          <w:lang w:val="en-US"/>
        </w:rPr>
        <w:t xml:space="preserve">ttp://resh.edu.ru/ </w:t>
      </w:r>
      <w:r>
        <w:rPr>
          <w:lang w:val="en-US"/>
        </w:rPr>
      </w:r>
      <w:r>
        <w:rPr>
          <w:lang w:val="en-US"/>
        </w:rPr>
      </w:r>
    </w:p>
    <w:p>
      <w:pPr>
        <w:spacing w:after="0"/>
        <w:rPr>
          <w:lang w:val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/>
          <w:sz w:val="28"/>
          <w:szCs w:val="28"/>
          <w:lang w:val="en-US"/>
        </w:rPr>
        <w:t xml:space="preserve">https://uchi.ru/</w:t>
      </w:r>
      <w:r>
        <w:rPr>
          <w:lang w:val="en-US"/>
        </w:rPr>
      </w:r>
      <w:r>
        <w:rPr>
          <w:lang w:val="en-US"/>
        </w:rPr>
      </w:r>
    </w:p>
    <w:p>
      <w:pPr>
        <w:spacing w:after="0"/>
        <w:rPr>
          <w:lang w:val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/>
          <w:sz w:val="28"/>
          <w:szCs w:val="28"/>
          <w:lang w:val="en-US"/>
        </w:rPr>
        <w:t xml:space="preserve">http://www.yaklass.ru/</w:t>
      </w:r>
      <w:r>
        <w:rPr>
          <w:lang w:val="en-US"/>
        </w:rPr>
      </w:r>
      <w:r>
        <w:rPr>
          <w:lang w:val="en-US"/>
        </w:rPr>
      </w:r>
    </w:p>
    <w:p>
      <w:pPr>
        <w:spacing w:after="0"/>
        <w:rPr>
          <w:lang w:val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/>
          <w:sz w:val="28"/>
          <w:szCs w:val="28"/>
          <w:lang w:val="en-US"/>
        </w:rPr>
        <w:t xml:space="preserve">https://interneturok.ru/</w:t>
      </w:r>
      <w:r>
        <w:rPr>
          <w:lang w:val="en-US"/>
        </w:rPr>
      </w:r>
      <w:r>
        <w:rPr>
          <w:lang w:val="en-US"/>
        </w:rPr>
      </w:r>
    </w:p>
    <w:p>
      <w:pPr>
        <w:spacing w:after="0"/>
        <w:rPr>
          <w:lang w:val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/>
          <w:sz w:val="28"/>
          <w:szCs w:val="28"/>
          <w:lang w:val="en-US"/>
        </w:rPr>
        <w:t xml:space="preserve">https://datalesson.ru/</w:t>
      </w:r>
      <w:r>
        <w:rPr>
          <w:lang w:val="en-US"/>
        </w:rPr>
      </w:r>
      <w:r>
        <w:rPr>
          <w:lang w:val="en-US"/>
        </w:rPr>
      </w:r>
    </w:p>
    <w:p>
      <w:pPr>
        <w:spacing w:after="0"/>
        <w:rPr>
          <w:lang w:val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/>
          <w:sz w:val="28"/>
          <w:szCs w:val="28"/>
          <w:lang w:val="en-US"/>
        </w:rPr>
        <w:t xml:space="preserve">https://olimpi</w:t>
      </w:r>
      <w:r>
        <w:rPr>
          <w:lang w:val="en-US"/>
        </w:rPr>
      </w:r>
      <w:r>
        <w:rPr>
          <w:lang w:val="en-US"/>
        </w:rPr>
      </w:r>
    </w:p>
    <w:p>
      <w:pPr>
        <w:spacing w:after="0"/>
        <w:rPr>
          <w:rFonts w:ascii="Times New Roman" w:hAnsi="Times New Roman" w:eastAsia="Arial"/>
          <w:sz w:val="28"/>
          <w:szCs w:val="28"/>
          <w:lang w:val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/>
          <w:sz w:val="28"/>
          <w:szCs w:val="28"/>
          <w:lang w:val="en-US"/>
        </w:rPr>
        <w:t xml:space="preserve">um.ru/</w:t>
      </w:r>
      <w:r>
        <w:rPr>
          <w:rFonts w:ascii="Times New Roman" w:hAnsi="Times New Roman" w:eastAsia="Arial"/>
          <w:sz w:val="28"/>
          <w:szCs w:val="28"/>
          <w:lang w:val="en-US"/>
        </w:rPr>
      </w:r>
      <w:r>
        <w:rPr>
          <w:rFonts w:ascii="Times New Roman" w:hAnsi="Times New Roman" w:eastAsia="Arial"/>
          <w:sz w:val="28"/>
          <w:szCs w:val="28"/>
          <w:lang w:val="en-US"/>
        </w:rPr>
      </w:r>
    </w:p>
    <w:p>
      <w:pPr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r>
    </w:p>
    <w:p>
      <w:pPr>
        <w:jc w:val="center"/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r>
    </w:p>
    <w:p>
      <w:pPr>
        <w:jc w:val="center"/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r>
    </w:p>
    <w:p>
      <w:pPr>
        <w:jc w:val="center"/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r>
    </w:p>
    <w:p>
      <w:pPr>
        <w:jc w:val="center"/>
        <w:spacing w:after="150" w:line="240" w:lineRule="auto"/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pPr>
      <w:r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r>
      <w:r>
        <w:rPr>
          <w:rFonts w:ascii="Times New Roman" w:hAnsi="Times New Roman" w:eastAsia="Times New Roman"/>
          <w:color w:val="000000"/>
          <w:sz w:val="21"/>
          <w:szCs w:val="21"/>
          <w:lang w:val="en-US" w:eastAsia="ru-RU"/>
        </w:rPr>
      </w:r>
    </w:p>
    <w:sectPr>
      <w:footnotePr/>
      <w:endnotePr/>
      <w:type w:val="nextPage"/>
      <w:pgSz w:w="16838" w:h="11906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Wingdings">
    <w:panose1 w:val="05010000000000000000"/>
  </w:font>
  <w:font w:name="Symbol">
    <w:panose1 w:val="05010000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1"/>
      <w:numFmt w:val="decimal"/>
      <w:isLgl w:val="false"/>
      <w:suff w:val="tab"/>
      <w:lvlText w:val="%2"/>
      <w:lvlJc w:val="left"/>
      <w:pPr>
        <w:ind w:left="1440" w:hanging="360"/>
      </w:pPr>
      <w:rPr>
        <w:b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689"/>
    <w:link w:val="680"/>
    <w:uiPriority w:val="9"/>
    <w:rPr>
      <w:rFonts w:ascii="Arial" w:hAnsi="Arial" w:eastAsia="Arial" w:cs="Arial"/>
      <w:sz w:val="40"/>
      <w:szCs w:val="40"/>
    </w:rPr>
  </w:style>
  <w:style w:type="character" w:styleId="663">
    <w:name w:val="Heading 2 Char"/>
    <w:basedOn w:val="689"/>
    <w:link w:val="681"/>
    <w:uiPriority w:val="9"/>
    <w:rPr>
      <w:rFonts w:ascii="Arial" w:hAnsi="Arial" w:eastAsia="Arial" w:cs="Arial"/>
      <w:sz w:val="34"/>
    </w:rPr>
  </w:style>
  <w:style w:type="character" w:styleId="664">
    <w:name w:val="Heading 3 Char"/>
    <w:basedOn w:val="689"/>
    <w:link w:val="682"/>
    <w:uiPriority w:val="9"/>
    <w:rPr>
      <w:rFonts w:ascii="Arial" w:hAnsi="Arial" w:eastAsia="Arial" w:cs="Arial"/>
      <w:sz w:val="30"/>
      <w:szCs w:val="30"/>
    </w:rPr>
  </w:style>
  <w:style w:type="character" w:styleId="665">
    <w:name w:val="Heading 4 Char"/>
    <w:basedOn w:val="689"/>
    <w:link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666">
    <w:name w:val="Heading 5 Char"/>
    <w:basedOn w:val="689"/>
    <w:link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667">
    <w:name w:val="Heading 6 Char"/>
    <w:basedOn w:val="689"/>
    <w:link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668">
    <w:name w:val="Heading 7 Char"/>
    <w:basedOn w:val="689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8 Char"/>
    <w:basedOn w:val="689"/>
    <w:link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670">
    <w:name w:val="Heading 9 Char"/>
    <w:basedOn w:val="689"/>
    <w:link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671">
    <w:name w:val="Title Char"/>
    <w:basedOn w:val="689"/>
    <w:link w:val="703"/>
    <w:uiPriority w:val="10"/>
    <w:rPr>
      <w:sz w:val="48"/>
      <w:szCs w:val="48"/>
    </w:rPr>
  </w:style>
  <w:style w:type="character" w:styleId="672">
    <w:name w:val="Subtitle Char"/>
    <w:basedOn w:val="689"/>
    <w:link w:val="705"/>
    <w:uiPriority w:val="11"/>
    <w:rPr>
      <w:sz w:val="24"/>
      <w:szCs w:val="24"/>
    </w:rPr>
  </w:style>
  <w:style w:type="character" w:styleId="673">
    <w:name w:val="Quote Char"/>
    <w:link w:val="707"/>
    <w:uiPriority w:val="29"/>
    <w:rPr>
      <w:i/>
    </w:rPr>
  </w:style>
  <w:style w:type="character" w:styleId="674">
    <w:name w:val="Intense Quote Char"/>
    <w:link w:val="709"/>
    <w:uiPriority w:val="30"/>
    <w:rPr>
      <w:i/>
    </w:rPr>
  </w:style>
  <w:style w:type="character" w:styleId="675">
    <w:name w:val="Header Char"/>
    <w:basedOn w:val="689"/>
    <w:link w:val="711"/>
    <w:uiPriority w:val="99"/>
  </w:style>
  <w:style w:type="character" w:styleId="676">
    <w:name w:val="Caption Char"/>
    <w:basedOn w:val="715"/>
    <w:link w:val="713"/>
    <w:uiPriority w:val="99"/>
  </w:style>
  <w:style w:type="character" w:styleId="677">
    <w:name w:val="Footnote Text Char"/>
    <w:link w:val="844"/>
    <w:uiPriority w:val="99"/>
    <w:rPr>
      <w:sz w:val="18"/>
    </w:rPr>
  </w:style>
  <w:style w:type="character" w:styleId="678">
    <w:name w:val="Endnote Text Char"/>
    <w:link w:val="847"/>
    <w:uiPriority w:val="99"/>
    <w:rPr>
      <w:sz w:val="20"/>
    </w:rPr>
  </w:style>
  <w:style w:type="paragraph" w:styleId="679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80">
    <w:name w:val="Heading 1"/>
    <w:basedOn w:val="679"/>
    <w:next w:val="679"/>
    <w:link w:val="69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1">
    <w:name w:val="Heading 2"/>
    <w:basedOn w:val="679"/>
    <w:next w:val="679"/>
    <w:link w:val="69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2">
    <w:name w:val="Heading 3"/>
    <w:basedOn w:val="679"/>
    <w:next w:val="679"/>
    <w:link w:val="694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3">
    <w:name w:val="Heading 4"/>
    <w:basedOn w:val="679"/>
    <w:next w:val="679"/>
    <w:link w:val="69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679"/>
    <w:next w:val="679"/>
    <w:link w:val="69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5">
    <w:name w:val="Heading 6"/>
    <w:basedOn w:val="679"/>
    <w:next w:val="679"/>
    <w:link w:val="69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6">
    <w:name w:val="Heading 7"/>
    <w:basedOn w:val="679"/>
    <w:next w:val="679"/>
    <w:link w:val="69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7">
    <w:name w:val="Heading 8"/>
    <w:basedOn w:val="679"/>
    <w:next w:val="679"/>
    <w:link w:val="69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8">
    <w:name w:val="Heading 9"/>
    <w:basedOn w:val="679"/>
    <w:next w:val="679"/>
    <w:link w:val="70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0"/>
    <w:uiPriority w:val="9"/>
    <w:rPr>
      <w:rFonts w:ascii="Arial" w:hAnsi="Arial" w:eastAsia="Arial" w:cs="Arial"/>
      <w:sz w:val="40"/>
      <w:szCs w:val="40"/>
    </w:rPr>
  </w:style>
  <w:style w:type="character" w:styleId="693" w:customStyle="1">
    <w:name w:val="Заголовок 2 Знак"/>
    <w:link w:val="681"/>
    <w:uiPriority w:val="9"/>
    <w:rPr>
      <w:rFonts w:ascii="Arial" w:hAnsi="Arial" w:eastAsia="Arial" w:cs="Arial"/>
      <w:sz w:val="34"/>
    </w:rPr>
  </w:style>
  <w:style w:type="character" w:styleId="694" w:customStyle="1">
    <w:name w:val="Заголовок 3 Знак"/>
    <w:link w:val="682"/>
    <w:uiPriority w:val="9"/>
    <w:rPr>
      <w:rFonts w:ascii="Arial" w:hAnsi="Arial" w:eastAsia="Arial" w:cs="Arial"/>
      <w:sz w:val="30"/>
      <w:szCs w:val="30"/>
    </w:rPr>
  </w:style>
  <w:style w:type="character" w:styleId="695" w:customStyle="1">
    <w:name w:val="Заголовок 4 Знак"/>
    <w:link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696" w:customStyle="1">
    <w:name w:val="Заголовок 5 Знак"/>
    <w:link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697" w:customStyle="1">
    <w:name w:val="Заголовок 6 Знак"/>
    <w:link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698" w:customStyle="1">
    <w:name w:val="Заголовок 7 Знак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 w:customStyle="1">
    <w:name w:val="Заголовок 8 Знак"/>
    <w:link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700" w:customStyle="1">
    <w:name w:val="Заголовок 9 Знак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List Paragraph"/>
    <w:basedOn w:val="679"/>
    <w:uiPriority w:val="34"/>
    <w:qFormat/>
    <w:pPr>
      <w:contextualSpacing/>
      <w:ind w:left="720"/>
    </w:pPr>
  </w:style>
  <w:style w:type="paragraph" w:styleId="702">
    <w:name w:val="No Spacing"/>
    <w:uiPriority w:val="1"/>
    <w:qFormat/>
  </w:style>
  <w:style w:type="paragraph" w:styleId="703">
    <w:name w:val="Title"/>
    <w:basedOn w:val="679"/>
    <w:next w:val="679"/>
    <w:link w:val="704"/>
    <w:uiPriority w:val="10"/>
    <w:qFormat/>
    <w:pPr>
      <w:contextualSpacing/>
      <w:spacing w:before="300"/>
    </w:pPr>
    <w:rPr>
      <w:sz w:val="48"/>
      <w:szCs w:val="48"/>
    </w:rPr>
  </w:style>
  <w:style w:type="character" w:styleId="704" w:customStyle="1">
    <w:name w:val="Заголовок Знак"/>
    <w:link w:val="703"/>
    <w:uiPriority w:val="10"/>
    <w:rPr>
      <w:sz w:val="48"/>
      <w:szCs w:val="48"/>
    </w:rPr>
  </w:style>
  <w:style w:type="paragraph" w:styleId="705">
    <w:name w:val="Subtitle"/>
    <w:basedOn w:val="679"/>
    <w:next w:val="679"/>
    <w:link w:val="706"/>
    <w:uiPriority w:val="11"/>
    <w:qFormat/>
    <w:pPr>
      <w:spacing w:before="200"/>
    </w:pPr>
    <w:rPr>
      <w:sz w:val="24"/>
      <w:szCs w:val="24"/>
    </w:rPr>
  </w:style>
  <w:style w:type="character" w:styleId="706" w:customStyle="1">
    <w:name w:val="Подзаголовок Знак"/>
    <w:link w:val="705"/>
    <w:uiPriority w:val="11"/>
    <w:rPr>
      <w:sz w:val="24"/>
      <w:szCs w:val="24"/>
    </w:rPr>
  </w:style>
  <w:style w:type="paragraph" w:styleId="707">
    <w:name w:val="Quote"/>
    <w:basedOn w:val="679"/>
    <w:next w:val="679"/>
    <w:link w:val="708"/>
    <w:uiPriority w:val="29"/>
    <w:qFormat/>
    <w:pPr>
      <w:ind w:left="720" w:right="720"/>
    </w:pPr>
    <w:rPr>
      <w:i/>
    </w:rPr>
  </w:style>
  <w:style w:type="character" w:styleId="708" w:customStyle="1">
    <w:name w:val="Цитата 2 Знак"/>
    <w:link w:val="707"/>
    <w:uiPriority w:val="29"/>
    <w:rPr>
      <w:i/>
    </w:rPr>
  </w:style>
  <w:style w:type="paragraph" w:styleId="709">
    <w:name w:val="Intense Quote"/>
    <w:basedOn w:val="679"/>
    <w:next w:val="679"/>
    <w:link w:val="71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 w:customStyle="1">
    <w:name w:val="Выделенная цитата Знак"/>
    <w:link w:val="709"/>
    <w:uiPriority w:val="30"/>
    <w:rPr>
      <w:i/>
    </w:rPr>
  </w:style>
  <w:style w:type="paragraph" w:styleId="711">
    <w:name w:val="Header"/>
    <w:basedOn w:val="679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 w:customStyle="1">
    <w:name w:val="Верхний колонтитул Знак"/>
    <w:link w:val="711"/>
    <w:uiPriority w:val="99"/>
  </w:style>
  <w:style w:type="paragraph" w:styleId="713">
    <w:name w:val="Footer"/>
    <w:basedOn w:val="679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 w:customStyle="1">
    <w:name w:val="Footer Char"/>
    <w:uiPriority w:val="99"/>
  </w:style>
  <w:style w:type="paragraph" w:styleId="715">
    <w:name w:val="Caption"/>
    <w:basedOn w:val="679"/>
    <w:next w:val="67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16" w:customStyle="1">
    <w:name w:val="Нижний колонтитул Знак"/>
    <w:link w:val="713"/>
    <w:uiPriority w:val="99"/>
  </w:style>
  <w:style w:type="table" w:styleId="717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2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9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6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5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679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 w:customStyle="1">
    <w:name w:val="Текст сноски Знак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679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 w:customStyle="1">
    <w:name w:val="Текст концевой сноски Знак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679"/>
    <w:next w:val="679"/>
    <w:uiPriority w:val="39"/>
    <w:unhideWhenUsed/>
    <w:pPr>
      <w:spacing w:after="57"/>
    </w:pPr>
  </w:style>
  <w:style w:type="paragraph" w:styleId="851">
    <w:name w:val="toc 2"/>
    <w:basedOn w:val="679"/>
    <w:next w:val="679"/>
    <w:uiPriority w:val="39"/>
    <w:unhideWhenUsed/>
    <w:pPr>
      <w:ind w:left="283"/>
      <w:spacing w:after="57"/>
    </w:pPr>
  </w:style>
  <w:style w:type="paragraph" w:styleId="852">
    <w:name w:val="toc 3"/>
    <w:basedOn w:val="679"/>
    <w:next w:val="679"/>
    <w:uiPriority w:val="39"/>
    <w:unhideWhenUsed/>
    <w:pPr>
      <w:ind w:left="567"/>
      <w:spacing w:after="57"/>
    </w:pPr>
  </w:style>
  <w:style w:type="paragraph" w:styleId="853">
    <w:name w:val="toc 4"/>
    <w:basedOn w:val="679"/>
    <w:next w:val="679"/>
    <w:uiPriority w:val="39"/>
    <w:unhideWhenUsed/>
    <w:pPr>
      <w:ind w:left="850"/>
      <w:spacing w:after="57"/>
    </w:pPr>
  </w:style>
  <w:style w:type="paragraph" w:styleId="854">
    <w:name w:val="toc 5"/>
    <w:basedOn w:val="679"/>
    <w:next w:val="679"/>
    <w:uiPriority w:val="39"/>
    <w:unhideWhenUsed/>
    <w:pPr>
      <w:ind w:left="1134"/>
      <w:spacing w:after="57"/>
    </w:pPr>
  </w:style>
  <w:style w:type="paragraph" w:styleId="855">
    <w:name w:val="toc 6"/>
    <w:basedOn w:val="679"/>
    <w:next w:val="679"/>
    <w:uiPriority w:val="39"/>
    <w:unhideWhenUsed/>
    <w:pPr>
      <w:ind w:left="1417"/>
      <w:spacing w:after="57"/>
    </w:pPr>
  </w:style>
  <w:style w:type="paragraph" w:styleId="856">
    <w:name w:val="toc 7"/>
    <w:basedOn w:val="679"/>
    <w:next w:val="679"/>
    <w:uiPriority w:val="39"/>
    <w:unhideWhenUsed/>
    <w:pPr>
      <w:ind w:left="1701"/>
      <w:spacing w:after="57"/>
    </w:pPr>
  </w:style>
  <w:style w:type="paragraph" w:styleId="857">
    <w:name w:val="toc 8"/>
    <w:basedOn w:val="679"/>
    <w:next w:val="679"/>
    <w:uiPriority w:val="39"/>
    <w:unhideWhenUsed/>
    <w:pPr>
      <w:ind w:left="1984"/>
      <w:spacing w:after="57"/>
    </w:pPr>
  </w:style>
  <w:style w:type="paragraph" w:styleId="858">
    <w:name w:val="toc 9"/>
    <w:basedOn w:val="679"/>
    <w:next w:val="679"/>
    <w:uiPriority w:val="39"/>
    <w:unhideWhenUsed/>
    <w:pPr>
      <w:ind w:left="2268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679"/>
    <w:next w:val="679"/>
    <w:uiPriority w:val="99"/>
    <w:unhideWhenUsed/>
    <w:pPr>
      <w:spacing w:after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фурсов</dc:creator>
  <cp:lastModifiedBy>Светлана Здобнякова</cp:lastModifiedBy>
  <cp:revision>5</cp:revision>
  <dcterms:created xsi:type="dcterms:W3CDTF">2024-09-16T15:10:00Z</dcterms:created>
  <dcterms:modified xsi:type="dcterms:W3CDTF">2024-09-20T08:35:20Z</dcterms:modified>
  <cp:version>917504</cp:version>
</cp:coreProperties>
</file>